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A5" w:rsidRDefault="000820A5" w:rsidP="000820A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hanging="1620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</w:rPr>
        <w:t>Радионица: ПЛАНИРАЊЕ ЛОКАЛНЕ АКЦИЈЕ</w:t>
      </w:r>
      <w:r>
        <w:rPr>
          <w:rFonts w:ascii="Times New Roman" w:hAnsi="Times New Roman" w:cs="Times New Roman"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sr-Cyrl-CS"/>
        </w:rPr>
        <w:t xml:space="preserve"> одређивање циљних група, анализа окружења и изградња подршке</w:t>
      </w:r>
    </w:p>
    <w:p w:rsidR="000820A5" w:rsidRDefault="000820A5" w:rsidP="000820A5">
      <w:pPr>
        <w:rPr>
          <w:b/>
          <w:bCs/>
          <w:lang w:val="sr-Latn-CS"/>
        </w:rPr>
      </w:pPr>
    </w:p>
    <w:p w:rsidR="000820A5" w:rsidRDefault="000820A5" w:rsidP="000820A5">
      <w:pPr>
        <w:pStyle w:val="Heading2"/>
        <w:rPr>
          <w:rFonts w:ascii="Times New Roman" w:hAnsi="Times New Roman" w:cs="Times New Roman"/>
          <w:sz w:val="24"/>
        </w:rPr>
      </w:pPr>
    </w:p>
    <w:p w:rsidR="000820A5" w:rsidRDefault="000820A5" w:rsidP="000820A5">
      <w:pPr>
        <w:rPr>
          <w:b/>
          <w:bCs/>
          <w:lang w:val="sr-Cyrl-CS"/>
        </w:rPr>
      </w:pPr>
      <w:r>
        <w:rPr>
          <w:b/>
          <w:bCs/>
          <w:lang w:val="sr-Latn-CS"/>
        </w:rPr>
        <w:t>ЦИЉ:</w:t>
      </w:r>
      <w:r>
        <w:rPr>
          <w:b/>
          <w:bCs/>
          <w:lang w:val="sr-Cyrl-CS"/>
        </w:rPr>
        <w:t xml:space="preserve"> </w:t>
      </w:r>
    </w:p>
    <w:p w:rsidR="000820A5" w:rsidRDefault="000820A5" w:rsidP="000820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Циљ ове радионице је да се ученици упознају са важношћу обезбеђивања подршке од стране појединаца, група и организација које су заинтересоване за решавање проблема и који могу допринети успешности локалне акције. </w:t>
      </w:r>
    </w:p>
    <w:p w:rsidR="000820A5" w:rsidRDefault="000820A5" w:rsidP="000820A5">
      <w:pPr>
        <w:rPr>
          <w:b/>
          <w:bCs/>
          <w:lang w:val="sr-Latn-CS"/>
        </w:rPr>
      </w:pPr>
    </w:p>
    <w:p w:rsidR="000820A5" w:rsidRDefault="000820A5" w:rsidP="000820A5">
      <w:pPr>
        <w:rPr>
          <w:b/>
          <w:bCs/>
          <w:lang w:val="sr-Cyrl-CS"/>
        </w:rPr>
      </w:pPr>
      <w:r>
        <w:rPr>
          <w:b/>
          <w:bCs/>
          <w:lang w:val="sr-Cyrl-CS"/>
        </w:rPr>
        <w:t>ЗАДАЦИ:</w:t>
      </w:r>
    </w:p>
    <w:p w:rsidR="000820A5" w:rsidRDefault="000820A5" w:rsidP="000820A5">
      <w:pPr>
        <w:numPr>
          <w:ilvl w:val="0"/>
          <w:numId w:val="2"/>
        </w:numPr>
        <w:rPr>
          <w:lang w:val="sr-Latn-CS"/>
        </w:rPr>
      </w:pPr>
      <w:r>
        <w:rPr>
          <w:lang w:val="sr-Cyrl-CS"/>
        </w:rPr>
        <w:t xml:space="preserve">Одређивање циљних група </w:t>
      </w:r>
    </w:p>
    <w:p w:rsidR="000820A5" w:rsidRDefault="000820A5" w:rsidP="000820A5">
      <w:pPr>
        <w:numPr>
          <w:ilvl w:val="0"/>
          <w:numId w:val="2"/>
        </w:numPr>
        <w:rPr>
          <w:lang w:val="sr-Latn-CS"/>
        </w:rPr>
      </w:pPr>
      <w:r>
        <w:rPr>
          <w:lang w:val="sr-Cyrl-CS"/>
        </w:rPr>
        <w:t>Анализа окружења у циљу индентификовања свих оних организација, институција и појединаца који могу допринети успешности локалне акције</w:t>
      </w:r>
    </w:p>
    <w:p w:rsidR="000820A5" w:rsidRDefault="000820A5" w:rsidP="000820A5">
      <w:pPr>
        <w:numPr>
          <w:ilvl w:val="0"/>
          <w:numId w:val="2"/>
        </w:numPr>
        <w:rPr>
          <w:lang w:val="sr-Latn-CS"/>
        </w:rPr>
      </w:pPr>
      <w:r>
        <w:rPr>
          <w:lang w:val="sr-Cyrl-CS"/>
        </w:rPr>
        <w:t>Планирање изградње подршке</w:t>
      </w:r>
    </w:p>
    <w:p w:rsidR="000820A5" w:rsidRDefault="000820A5" w:rsidP="000820A5">
      <w:pPr>
        <w:rPr>
          <w:lang w:val="sr-Latn-CS"/>
        </w:rPr>
      </w:pPr>
    </w:p>
    <w:p w:rsidR="000820A5" w:rsidRDefault="000820A5" w:rsidP="000820A5">
      <w:pPr>
        <w:rPr>
          <w:b/>
          <w:bCs/>
          <w:lang w:val="sr-Latn-CS"/>
        </w:rPr>
      </w:pPr>
      <w:r>
        <w:rPr>
          <w:b/>
          <w:bCs/>
          <w:lang w:val="sr-Latn-CS"/>
        </w:rPr>
        <w:t>Mатеријал</w:t>
      </w:r>
      <w:r>
        <w:rPr>
          <w:b/>
          <w:bCs/>
          <w:lang w:val="sr-Cyrl-CS"/>
        </w:rPr>
        <w:t xml:space="preserve"> за рад</w:t>
      </w:r>
      <w:r>
        <w:rPr>
          <w:b/>
          <w:bCs/>
          <w:lang w:val="sr-Latn-CS"/>
        </w:rPr>
        <w:t>:</w:t>
      </w:r>
    </w:p>
    <w:p w:rsidR="000820A5" w:rsidRDefault="000820A5" w:rsidP="000820A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Анализа окружења (Прилог бр. 1) </w:t>
      </w:r>
    </w:p>
    <w:p w:rsidR="000820A5" w:rsidRDefault="000820A5" w:rsidP="000820A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пак-папир (за сваку групу по један)</w:t>
      </w:r>
    </w:p>
    <w:p w:rsidR="000820A5" w:rsidRDefault="000820A5" w:rsidP="000820A5">
      <w:pPr>
        <w:jc w:val="both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</w:t>
      </w:r>
    </w:p>
    <w:p w:rsidR="000820A5" w:rsidRDefault="000820A5" w:rsidP="000820A5">
      <w:pPr>
        <w:jc w:val="both"/>
        <w:rPr>
          <w:b/>
          <w:lang w:val="sr-Cyrl-CS"/>
        </w:rPr>
      </w:pPr>
    </w:p>
    <w:p w:rsidR="000820A5" w:rsidRDefault="000820A5" w:rsidP="000820A5">
      <w:pPr>
        <w:pStyle w:val="Heading3"/>
        <w:rPr>
          <w:caps/>
          <w:lang w:val="sr-Cyrl-CS"/>
        </w:rPr>
      </w:pPr>
      <w:r>
        <w:rPr>
          <w:caps/>
          <w:lang w:val="sr-Cyrl-CS"/>
        </w:rPr>
        <w:t>Опис активности</w:t>
      </w:r>
    </w:p>
    <w:p w:rsidR="000820A5" w:rsidRDefault="000820A5" w:rsidP="000820A5">
      <w:pPr>
        <w:rPr>
          <w:b/>
          <w:bCs/>
          <w:lang w:val="sr-Cyrl-CS"/>
        </w:rPr>
      </w:pPr>
    </w:p>
    <w:p w:rsidR="000820A5" w:rsidRDefault="000820A5" w:rsidP="000820A5">
      <w:pPr>
        <w:pStyle w:val="Heading1"/>
        <w:rPr>
          <w:rFonts w:ascii="Times New Roman" w:eastAsia="Arial Unicode MS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Први к</w:t>
      </w:r>
      <w:r>
        <w:rPr>
          <w:rFonts w:ascii="Times New Roman" w:hAnsi="Times New Roman" w:cs="Times New Roman"/>
          <w:color w:val="auto"/>
          <w:sz w:val="24"/>
        </w:rPr>
        <w:t xml:space="preserve">oрак  </w:t>
      </w:r>
    </w:p>
    <w:p w:rsidR="000820A5" w:rsidRDefault="000820A5" w:rsidP="000820A5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  <w:t xml:space="preserve">(Трајање: 15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мин</w:t>
      </w:r>
      <w:r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  <w:t>ута)</w:t>
      </w:r>
    </w:p>
    <w:p w:rsidR="000820A5" w:rsidRDefault="000820A5" w:rsidP="000820A5">
      <w:pPr>
        <w:rPr>
          <w:rFonts w:eastAsia="Arial Unicode MS"/>
          <w:lang w:val="sr-Cyrl-CS"/>
        </w:rPr>
      </w:pPr>
    </w:p>
    <w:p w:rsidR="000820A5" w:rsidRDefault="000820A5" w:rsidP="000820A5">
      <w:pPr>
        <w:pStyle w:val="BodyText2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Наставник/ца започиње час тако што подсећа ученике докле су стигли у планирању акција. Наредни корак на коме ће радити је </w:t>
      </w:r>
      <w:r>
        <w:rPr>
          <w:rFonts w:ascii="Times New Roman" w:hAnsi="Times New Roman" w:cs="Times New Roman"/>
          <w:b/>
          <w:bCs/>
          <w:sz w:val="24"/>
        </w:rPr>
        <w:t xml:space="preserve">одређивање циљних група. </w:t>
      </w:r>
      <w:r>
        <w:rPr>
          <w:rFonts w:ascii="Times New Roman" w:hAnsi="Times New Roman" w:cs="Times New Roman"/>
          <w:sz w:val="24"/>
        </w:rPr>
        <w:t xml:space="preserve">За успех акције веома је битно утврдити које све циљне групе постоје, односно утврдити све оне организације, институције и појединце који се налазе у окружењу и који су значајни за реализацију акције. У ту сврху, потребно је добро </w:t>
      </w:r>
      <w:r>
        <w:rPr>
          <w:rFonts w:ascii="Times New Roman" w:hAnsi="Times New Roman" w:cs="Times New Roman"/>
          <w:b/>
          <w:bCs/>
          <w:sz w:val="24"/>
        </w:rPr>
        <w:t>анализирати окружење.</w:t>
      </w:r>
    </w:p>
    <w:p w:rsidR="000820A5" w:rsidRDefault="000820A5" w:rsidP="000820A5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Наставник/ца даље на примеру показује како се најбоље анализира окружење. Наставник/ца црта круг у чији центар ставља ученичку групу, потом обележава кориснике акције (примарну циљну групу), а то су групе/ појединци на које ученици желе да утичу својом акцијом. </w:t>
      </w:r>
    </w:p>
    <w:p w:rsidR="000820A5" w:rsidRDefault="000820A5" w:rsidP="000820A5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Затим уцртава остале циљне групе. То су све оне групе које представљају доносиоце одлука који могу помоћи у решавању постојећег проблема и/или оне који имају утицај на директне доносиоце одлука. Ове групе називамо и </w:t>
      </w:r>
      <w:r>
        <w:rPr>
          <w:rFonts w:ascii="Times New Roman" w:hAnsi="Times New Roman" w:cs="Times New Roman"/>
          <w:b/>
          <w:bCs/>
          <w:sz w:val="24"/>
        </w:rPr>
        <w:t>заинтересованим групама,</w:t>
      </w:r>
      <w:r>
        <w:rPr>
          <w:rFonts w:ascii="Times New Roman" w:hAnsi="Times New Roman" w:cs="Times New Roman"/>
          <w:sz w:val="24"/>
        </w:rPr>
        <w:t xml:space="preserve"> јер су све оне на неки начин заинтересоване за решавање проблема на који се односи акција. Увек постоји обострани интерес између ученичке групе и заинтересованих група из окружења и значајно је утврдити заједнички интерес за сваку групу. </w:t>
      </w:r>
    </w:p>
    <w:p w:rsidR="000820A5" w:rsidRDefault="000820A5" w:rsidP="000820A5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овај начин ученици добијају јасну слику о томе које су све групе заинтересоване за решавање проблема и зашто. На основу ових сазнања, ученици даље планирају </w:t>
      </w:r>
      <w:r>
        <w:rPr>
          <w:rFonts w:ascii="Times New Roman" w:hAnsi="Times New Roman" w:cs="Times New Roman"/>
          <w:b/>
          <w:bCs/>
          <w:sz w:val="24"/>
        </w:rPr>
        <w:t>изградњу подршке</w:t>
      </w:r>
      <w:r>
        <w:rPr>
          <w:rFonts w:ascii="Times New Roman" w:hAnsi="Times New Roman" w:cs="Times New Roman"/>
          <w:sz w:val="24"/>
        </w:rPr>
        <w:t xml:space="preserve">, односно ученици планирају на који начин се сваком од ових група може створити савез и како сваку од ових група укључити у решавање проблема/ акцију. Изградња базе за подршку у решавању проблема којим се одређена група бави је од изузетне важности за успех акције. Што је подршка шира, веће су шансе за успех. При </w:t>
      </w:r>
      <w:r>
        <w:rPr>
          <w:rFonts w:ascii="Times New Roman" w:hAnsi="Times New Roman" w:cs="Times New Roman"/>
          <w:sz w:val="24"/>
        </w:rPr>
        <w:lastRenderedPageBreak/>
        <w:t xml:space="preserve">изградњи подршке ученици се користе свим оним знањима која су стекли током претходних часова, првенствено лобирањем и кампањом. </w:t>
      </w:r>
    </w:p>
    <w:p w:rsidR="000820A5" w:rsidRDefault="000820A5" w:rsidP="000820A5">
      <w:pPr>
        <w:pStyle w:val="BodyText2"/>
        <w:rPr>
          <w:rFonts w:ascii="Times New Roman" w:hAnsi="Times New Roman" w:cs="Times New Roman"/>
          <w:sz w:val="24"/>
        </w:rPr>
      </w:pPr>
    </w:p>
    <w:p w:rsidR="000820A5" w:rsidRDefault="000820A5" w:rsidP="000820A5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Напомена: </w:t>
      </w:r>
    </w:p>
    <w:p w:rsidR="000820A5" w:rsidRDefault="000820A5" w:rsidP="000820A5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Приликом објашњавања анализе окружења, настаник/ца бира пример који је близак ученицима. Могуће је да се позове на претходне акције, које су реализоване током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разреда. Битно је да се на том примеру издвоје што више различитих циљних/ заинтересованих група. Као помоћ користи Прилог бр. 1.</w:t>
      </w:r>
    </w:p>
    <w:p w:rsidR="000820A5" w:rsidRDefault="000820A5" w:rsidP="000820A5">
      <w:pPr>
        <w:pStyle w:val="BodyText2"/>
        <w:rPr>
          <w:rFonts w:ascii="Times New Roman" w:hAnsi="Times New Roman" w:cs="Times New Roman"/>
          <w:sz w:val="24"/>
        </w:rPr>
      </w:pPr>
    </w:p>
    <w:p w:rsidR="000820A5" w:rsidRDefault="000820A5" w:rsidP="000820A5">
      <w:pPr>
        <w:pStyle w:val="Heading1"/>
        <w:rPr>
          <w:rFonts w:ascii="Times New Roman" w:eastAsia="Arial Unicode MS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Др</w:t>
      </w:r>
      <w:r>
        <w:rPr>
          <w:rFonts w:ascii="Times New Roman" w:hAnsi="Times New Roman" w:cs="Times New Roman"/>
          <w:color w:val="auto"/>
          <w:sz w:val="24"/>
          <w:lang w:val="sr-Cyrl-CS"/>
        </w:rPr>
        <w:t>у</w:t>
      </w:r>
      <w:r>
        <w:rPr>
          <w:rFonts w:ascii="Times New Roman" w:hAnsi="Times New Roman" w:cs="Times New Roman"/>
          <w:color w:val="auto"/>
          <w:sz w:val="24"/>
        </w:rPr>
        <w:t xml:space="preserve">ги корак </w:t>
      </w:r>
    </w:p>
    <w:p w:rsidR="000820A5" w:rsidRDefault="000820A5" w:rsidP="000820A5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(Трајање: 15 минута)</w:t>
      </w:r>
    </w:p>
    <w:p w:rsidR="000820A5" w:rsidRDefault="000820A5" w:rsidP="000820A5">
      <w:pPr>
        <w:pStyle w:val="BodyText2"/>
        <w:rPr>
          <w:rFonts w:ascii="Times New Roman" w:hAnsi="Times New Roman" w:cs="Times New Roman"/>
          <w:sz w:val="24"/>
        </w:rPr>
      </w:pPr>
    </w:p>
    <w:p w:rsidR="000820A5" w:rsidRDefault="000820A5" w:rsidP="000820A5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наредном  кораку, ученици се враћају у своје мале групе и настављају рад на планирању акције. Њихов задатак је да анализирају окружење у односу на њихов проблем, и на тај начин утврде све циљне/ заинтересоване групе у њиховом окружењу. Такође је потребно да јасно дефинишу интерес сваке од ових група за решавање проблема. Резултате рада у групама, ученици треба да прикажу на једном великом папиру. </w:t>
      </w:r>
    </w:p>
    <w:p w:rsidR="000820A5" w:rsidRDefault="000820A5" w:rsidP="000820A5">
      <w:pPr>
        <w:rPr>
          <w:b/>
          <w:bCs/>
          <w:lang w:val="sr-Cyrl-CS"/>
        </w:rPr>
      </w:pPr>
    </w:p>
    <w:p w:rsidR="000820A5" w:rsidRDefault="000820A5" w:rsidP="000820A5">
      <w:pPr>
        <w:pStyle w:val="BodyText"/>
        <w:rPr>
          <w:rFonts w:ascii="Times New Roman" w:hAnsi="Times New Roman" w:cs="Times New Roman"/>
          <w:b/>
          <w:bCs/>
          <w:color w:val="auto"/>
          <w:sz w:val="24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sz w:val="24"/>
          <w:lang w:val="sr-Cyrl-CS"/>
        </w:rPr>
        <w:t>Трећи корак</w:t>
      </w:r>
    </w:p>
    <w:p w:rsidR="000820A5" w:rsidRDefault="000820A5" w:rsidP="000820A5">
      <w:pPr>
        <w:pStyle w:val="BodyText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(Трајање:</w:t>
      </w:r>
      <w:r>
        <w:rPr>
          <w:rFonts w:ascii="Times New Roman" w:hAnsi="Times New Roman" w:cs="Times New Roman"/>
          <w:b/>
          <w:bCs/>
          <w:color w:val="auto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15 </w:t>
      </w:r>
      <w:r>
        <w:rPr>
          <w:rFonts w:ascii="Times New Roman" w:hAnsi="Times New Roman" w:cs="Times New Roman"/>
          <w:color w:val="auto"/>
          <w:sz w:val="24"/>
          <w:lang w:val="sr-Cyrl-CS"/>
        </w:rPr>
        <w:t>минута</w:t>
      </w:r>
      <w:r>
        <w:rPr>
          <w:rFonts w:ascii="Times New Roman" w:hAnsi="Times New Roman" w:cs="Times New Roman"/>
          <w:color w:val="auto"/>
          <w:sz w:val="24"/>
        </w:rPr>
        <w:t>)</w:t>
      </w:r>
    </w:p>
    <w:p w:rsidR="000820A5" w:rsidRDefault="000820A5" w:rsidP="000820A5">
      <w:pPr>
        <w:rPr>
          <w:lang w:val="sr-Cyrl-CS"/>
        </w:rPr>
      </w:pPr>
    </w:p>
    <w:p w:rsidR="000820A5" w:rsidRDefault="000820A5" w:rsidP="000820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наредном кораку, рад сваке групе излаже се као у галерији, а ученици се позивају да пар минута прођу кроз галерију и погледају резултате рада малих група. Потом, наставник/ца заједно са разредом коментарише рад сваке групе. </w:t>
      </w:r>
    </w:p>
    <w:p w:rsidR="000820A5" w:rsidRDefault="000820A5" w:rsidP="000820A5">
      <w:pPr>
        <w:pStyle w:val="BodyText"/>
        <w:rPr>
          <w:rFonts w:ascii="Times New Roman" w:hAnsi="Times New Roman" w:cs="Times New Roman"/>
          <w:color w:val="auto"/>
          <w:sz w:val="24"/>
        </w:rPr>
      </w:pPr>
    </w:p>
    <w:p w:rsidR="000820A5" w:rsidRDefault="000820A5" w:rsidP="000820A5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Прилог бр.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:rsidR="000820A5" w:rsidRDefault="000820A5" w:rsidP="000820A5">
      <w:pPr>
        <w:rPr>
          <w:lang w:val="sl-SI"/>
        </w:rPr>
      </w:pPr>
    </w:p>
    <w:p w:rsidR="000820A5" w:rsidRDefault="000820A5" w:rsidP="000820A5">
      <w:pPr>
        <w:rPr>
          <w:lang w:val="sl-SI"/>
        </w:rPr>
      </w:pPr>
    </w:p>
    <w:p w:rsidR="000820A5" w:rsidRDefault="000820A5" w:rsidP="000820A5">
      <w:pPr>
        <w:rPr>
          <w:lang w:val="sl-SI"/>
        </w:rPr>
      </w:pPr>
    </w:p>
    <w:p w:rsidR="000820A5" w:rsidRDefault="000820A5" w:rsidP="000820A5">
      <w:pPr>
        <w:pStyle w:val="Heading1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АНАЛИЗА ОКРУЖЕЊА</w:t>
      </w:r>
    </w:p>
    <w:p w:rsidR="000820A5" w:rsidRDefault="000820A5" w:rsidP="000820A5">
      <w:pPr>
        <w:jc w:val="center"/>
        <w:rPr>
          <w:b/>
          <w:bCs/>
          <w:lang w:val="sr-Cyrl-CS"/>
        </w:rPr>
      </w:pPr>
    </w:p>
    <w:p w:rsidR="000820A5" w:rsidRDefault="000820A5" w:rsidP="000820A5">
      <w:pPr>
        <w:jc w:val="center"/>
        <w:rPr>
          <w:b/>
          <w:bCs/>
          <w:lang w:val="sr-Cyrl-CS"/>
        </w:rPr>
      </w:pPr>
    </w:p>
    <w:p w:rsidR="000820A5" w:rsidRDefault="000820A5" w:rsidP="000820A5">
      <w:pPr>
        <w:jc w:val="center"/>
        <w:rPr>
          <w:b/>
          <w:bCs/>
          <w:lang w:val="sr-Cyrl-CS"/>
        </w:rPr>
      </w:pPr>
    </w:p>
    <w:p w:rsidR="000820A5" w:rsidRDefault="000820A5" w:rsidP="000820A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 бисмо што успешније деловали у нашем окружењу, потребно је да утврдимо ко се све налази у њему, на који начин са сваком од група/институција које су важне за реализацију акције и решавање проблема можемо да сарађујемо. Оно о чему највише морамо да промислимо и тачно дефинишемо је: који је то обострани интерес који нас спаја са групама из окружења а у вези нашег рада. Зато ове групе и називамо </w:t>
      </w:r>
      <w:r>
        <w:rPr>
          <w:b/>
          <w:bCs/>
          <w:lang w:val="sr-Cyrl-CS"/>
        </w:rPr>
        <w:t>заинтересоване групе.</w:t>
      </w:r>
      <w:r>
        <w:rPr>
          <w:lang w:val="sr-Cyrl-CS"/>
        </w:rPr>
        <w:t xml:space="preserve">  </w:t>
      </w:r>
    </w:p>
    <w:p w:rsidR="000820A5" w:rsidRDefault="000820A5" w:rsidP="000820A5">
      <w:pPr>
        <w:rPr>
          <w:sz w:val="28"/>
          <w:lang w:val="sr-Cyrl-CS"/>
        </w:rPr>
      </w:pPr>
    </w:p>
    <w:p w:rsidR="000820A5" w:rsidRDefault="000820A5" w:rsidP="000820A5">
      <w:pPr>
        <w:rPr>
          <w:sz w:val="28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125095</wp:posOffset>
                </wp:positionV>
                <wp:extent cx="5715000" cy="4343400"/>
                <wp:effectExtent l="13970" t="6985" r="5080" b="12065"/>
                <wp:wrapNone/>
                <wp:docPr id="2" name="Oc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343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 xml:space="preserve">Локална власт  </w:t>
                            </w: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Медији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Политичке партије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ru-RU"/>
                              </w:rPr>
                            </w:pP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Млади</w:t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Полиција</w:t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Донатори</w:t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Црква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ru-RU"/>
                              </w:rPr>
                            </w:pP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ru-RU"/>
                              </w:rPr>
                            </w:pP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Директор школе</w:t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Професори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ru-RU"/>
                              </w:rPr>
                            </w:pP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Приватници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Здравствене институције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ru-RU"/>
                              </w:rPr>
                            </w:pP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Ученици Школа</w:t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Локални спортски клуб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ru-RU"/>
                              </w:rPr>
                            </w:pP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Аматерско позориште</w:t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Родитељи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Друге НВО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</w:t>
                            </w:r>
                          </w:p>
                          <w:p w:rsidR="000820A5" w:rsidRDefault="000820A5" w:rsidP="000820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" o:spid="_x0000_s1026" type="#_x0000_t10" style="position:absolute;margin-left:-3.8pt;margin-top:9.85pt;width:450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">
                <v:textbox>
                  <w:txbxContent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 xml:space="preserve">Локална власт  </w:t>
                      </w:r>
                      <w:r>
                        <w:rPr>
                          <w:lang w:val="ru-RU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Медији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ru-RU"/>
                        </w:rPr>
                        <w:t xml:space="preserve">            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Политичке партије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ru-RU"/>
                        </w:rPr>
                      </w:pP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Млади</w:t>
                      </w:r>
                      <w:r>
                        <w:rPr>
                          <w:rFonts w:ascii="Verdana" w:hAnsi="Verdana"/>
                          <w:lang w:val="ru-RU"/>
                        </w:rPr>
                        <w:t xml:space="preserve">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Полиција</w:t>
                      </w:r>
                      <w:r>
                        <w:rPr>
                          <w:rFonts w:ascii="Verdana" w:hAnsi="Verdana"/>
                          <w:lang w:val="ru-RU"/>
                        </w:rPr>
                        <w:t xml:space="preserve">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Донатори</w:t>
                      </w:r>
                      <w:r>
                        <w:rPr>
                          <w:rFonts w:ascii="Verdana" w:hAnsi="Verdana"/>
                          <w:lang w:val="ru-RU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Црква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ru-RU"/>
                        </w:rPr>
                      </w:pP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ru-RU"/>
                        </w:rPr>
                      </w:pP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Директор школе</w:t>
                      </w:r>
                      <w:r>
                        <w:rPr>
                          <w:rFonts w:ascii="Verdana" w:hAnsi="Verdana"/>
                          <w:lang w:val="ru-RU"/>
                        </w:rPr>
                        <w:t xml:space="preserve">                           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Професори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ru-RU"/>
                        </w:rPr>
                      </w:pP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ru-RU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Приватници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ru-RU"/>
                        </w:rPr>
                        <w:t xml:space="preserve">                         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Здравствене институције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ru-RU"/>
                        </w:rPr>
                      </w:pP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Ученици Школа</w:t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ru-RU"/>
                        </w:rPr>
                        <w:tab/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Локални спортски клуб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ru-RU"/>
                        </w:rPr>
                      </w:pP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Аматерско позориште</w:t>
                      </w:r>
                      <w:r>
                        <w:rPr>
                          <w:rFonts w:ascii="Verdana" w:hAnsi="Verdana"/>
                          <w:lang w:val="ru-RU"/>
                        </w:rPr>
                        <w:t xml:space="preserve">           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Родитељи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  <w:lang w:val="sr-Cyrl-CS"/>
                        </w:rPr>
                      </w:pPr>
                      <w:r>
                        <w:rPr>
                          <w:rFonts w:ascii="Verdana" w:hAnsi="Verdana"/>
                          <w:lang w:val="ru-RU"/>
                        </w:rPr>
                        <w:t xml:space="preserve">                                   </w:t>
                      </w:r>
                      <w:r>
                        <w:rPr>
                          <w:rFonts w:ascii="Verdana" w:hAnsi="Verdana"/>
                          <w:lang w:val="sr-Cyrl-CS"/>
                        </w:rPr>
                        <w:t>Друге НВО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</w:t>
                      </w:r>
                    </w:p>
                    <w:p w:rsidR="000820A5" w:rsidRDefault="000820A5" w:rsidP="000820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820A5" w:rsidRDefault="000820A5" w:rsidP="000820A5">
      <w:pPr>
        <w:rPr>
          <w:sz w:val="28"/>
          <w:lang w:val="sr-Cyrl-CS"/>
        </w:rPr>
      </w:pPr>
    </w:p>
    <w:p w:rsidR="000820A5" w:rsidRDefault="000820A5" w:rsidP="000820A5">
      <w:pPr>
        <w:rPr>
          <w:sz w:val="28"/>
          <w:lang w:val="sr-Cyrl-CS"/>
        </w:rPr>
      </w:pPr>
    </w:p>
    <w:p w:rsidR="000820A5" w:rsidRDefault="000820A5" w:rsidP="000820A5">
      <w:pPr>
        <w:rPr>
          <w:sz w:val="28"/>
          <w:lang w:val="sr-Cyrl-CS"/>
        </w:rPr>
      </w:pPr>
    </w:p>
    <w:p w:rsidR="000820A5" w:rsidRDefault="000820A5" w:rsidP="000820A5">
      <w:pPr>
        <w:rPr>
          <w:sz w:val="28"/>
          <w:lang w:val="sr-Cyrl-CS"/>
        </w:rPr>
      </w:pPr>
    </w:p>
    <w:p w:rsidR="000820A5" w:rsidRDefault="000820A5" w:rsidP="000820A5">
      <w:pPr>
        <w:rPr>
          <w:sz w:val="28"/>
          <w:lang w:val="sr-Cyrl-CS"/>
        </w:rPr>
      </w:pPr>
    </w:p>
    <w:p w:rsidR="000820A5" w:rsidRDefault="000820A5" w:rsidP="000820A5">
      <w:pPr>
        <w:rPr>
          <w:sz w:val="28"/>
          <w:lang w:val="sr-Cyrl-CS"/>
        </w:rPr>
      </w:pPr>
    </w:p>
    <w:p w:rsidR="000820A5" w:rsidRDefault="000820A5" w:rsidP="000820A5">
      <w:pPr>
        <w:rPr>
          <w:b/>
          <w:bCs/>
          <w:sz w:val="28"/>
          <w:lang w:val="sr-Cyrl-CS"/>
        </w:rPr>
      </w:pPr>
      <w:r>
        <w:rPr>
          <w:lang w:val="sr-Cyrl-CS"/>
        </w:rPr>
        <w:t>NVO</w:t>
      </w:r>
      <w:r>
        <w:rPr>
          <w:b/>
          <w:bCs/>
          <w:noProof/>
          <w:lang w:val="ru-RU"/>
        </w:rPr>
        <w:t xml:space="preserve"> </w:t>
      </w:r>
    </w:p>
    <w:p w:rsidR="000820A5" w:rsidRDefault="000820A5" w:rsidP="000820A5">
      <w:pPr>
        <w:rPr>
          <w:lang w:val="sr-Cyrl-C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58420</wp:posOffset>
                </wp:positionV>
                <wp:extent cx="619760" cy="457200"/>
                <wp:effectExtent l="13970" t="12700" r="13970" b="6350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20A5" w:rsidRDefault="000820A5" w:rsidP="000820A5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7" type="#_x0000_t120" style="position:absolute;margin-left:176.2pt;margin-top:4.6pt;width:48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">
                <v:textbox>
                  <w:txbxContent>
                    <w:p w:rsidR="000820A5" w:rsidRDefault="000820A5" w:rsidP="000820A5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МИ</w:t>
                      </w:r>
                    </w:p>
                  </w:txbxContent>
                </v:textbox>
              </v:shape>
            </w:pict>
          </mc:Fallback>
        </mc:AlternateContent>
      </w:r>
    </w:p>
    <w:p w:rsidR="000820A5" w:rsidRDefault="000820A5" w:rsidP="000820A5">
      <w:pPr>
        <w:pStyle w:val="BodyText"/>
        <w:rPr>
          <w:rFonts w:ascii="Times New Roman" w:hAnsi="Times New Roman" w:cs="Times New Roman"/>
          <w:color w:val="auto"/>
        </w:rPr>
      </w:pPr>
    </w:p>
    <w:p w:rsidR="000820A5" w:rsidRDefault="000820A5" w:rsidP="000820A5">
      <w:pPr>
        <w:pStyle w:val="BodyText"/>
        <w:rPr>
          <w:rFonts w:ascii="Times New Roman" w:hAnsi="Times New Roman" w:cs="Times New Roman"/>
          <w:color w:val="auto"/>
        </w:rPr>
      </w:pPr>
    </w:p>
    <w:p w:rsidR="000820A5" w:rsidRDefault="000820A5" w:rsidP="000820A5">
      <w:pPr>
        <w:pStyle w:val="BodyText"/>
        <w:rPr>
          <w:rFonts w:ascii="Times New Roman" w:hAnsi="Times New Roman" w:cs="Times New Roman"/>
          <w:color w:val="auto"/>
        </w:rPr>
      </w:pPr>
    </w:p>
    <w:p w:rsidR="000820A5" w:rsidRDefault="000820A5" w:rsidP="000820A5">
      <w:pPr>
        <w:pStyle w:val="BodyText"/>
        <w:rPr>
          <w:rFonts w:ascii="Times New Roman" w:hAnsi="Times New Roman" w:cs="Times New Roman"/>
          <w:color w:val="auto"/>
        </w:rPr>
      </w:pPr>
    </w:p>
    <w:p w:rsidR="000820A5" w:rsidRDefault="000820A5" w:rsidP="000820A5">
      <w:pPr>
        <w:pStyle w:val="BodyText"/>
        <w:rPr>
          <w:rFonts w:ascii="Times New Roman" w:hAnsi="Times New Roman" w:cs="Times New Roman"/>
          <w:color w:val="auto"/>
        </w:rPr>
      </w:pPr>
    </w:p>
    <w:p w:rsidR="0010550C" w:rsidRDefault="000820A5" w:rsidP="000820A5">
      <w:r>
        <w:br w:type="page"/>
      </w:r>
      <w:bookmarkStart w:id="0" w:name="_GoBack"/>
      <w:bookmarkEnd w:id="0"/>
    </w:p>
    <w:sectPr w:rsidR="0010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935"/>
    <w:multiLevelType w:val="hybridMultilevel"/>
    <w:tmpl w:val="365262B6"/>
    <w:lvl w:ilvl="0" w:tplc="C6B4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06EBC"/>
    <w:multiLevelType w:val="hybridMultilevel"/>
    <w:tmpl w:val="5CA6BE78"/>
    <w:lvl w:ilvl="0" w:tplc="9B185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A5"/>
    <w:rsid w:val="000820A5"/>
    <w:rsid w:val="001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20A5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0820A5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0820A5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0A5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0820A5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0820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820A5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0820A5"/>
    <w:rPr>
      <w:rFonts w:ascii="Arial" w:eastAsia="Times New Roman" w:hAnsi="Arial" w:cs="Arial"/>
      <w:color w:val="000000"/>
      <w:sz w:val="20"/>
      <w:szCs w:val="24"/>
      <w:lang w:val="sr-Latn-CS"/>
    </w:rPr>
  </w:style>
  <w:style w:type="paragraph" w:styleId="BodyText2">
    <w:name w:val="Body Text 2"/>
    <w:basedOn w:val="Normal"/>
    <w:link w:val="BodyText2Char"/>
    <w:rsid w:val="000820A5"/>
    <w:rPr>
      <w:rFonts w:ascii="Arial" w:hAnsi="Arial" w:cs="Arial"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820A5"/>
    <w:rPr>
      <w:rFonts w:ascii="Arial" w:eastAsia="Times New Roman" w:hAnsi="Arial" w:cs="Arial"/>
      <w:sz w:val="20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20A5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0820A5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0820A5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0A5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0820A5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0820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820A5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0820A5"/>
    <w:rPr>
      <w:rFonts w:ascii="Arial" w:eastAsia="Times New Roman" w:hAnsi="Arial" w:cs="Arial"/>
      <w:color w:val="000000"/>
      <w:sz w:val="20"/>
      <w:szCs w:val="24"/>
      <w:lang w:val="sr-Latn-CS"/>
    </w:rPr>
  </w:style>
  <w:style w:type="paragraph" w:styleId="BodyText2">
    <w:name w:val="Body Text 2"/>
    <w:basedOn w:val="Normal"/>
    <w:link w:val="BodyText2Char"/>
    <w:rsid w:val="000820A5"/>
    <w:rPr>
      <w:rFonts w:ascii="Arial" w:hAnsi="Arial" w:cs="Arial"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820A5"/>
    <w:rPr>
      <w:rFonts w:ascii="Arial" w:eastAsia="Times New Roman" w:hAnsi="Arial" w:cs="Arial"/>
      <w:sz w:val="20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2020-04-24T05:33:00Z</dcterms:created>
  <dcterms:modified xsi:type="dcterms:W3CDTF">2020-04-24T05:34:00Z</dcterms:modified>
</cp:coreProperties>
</file>